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1FD" w:rsidRPr="008541FD" w:rsidRDefault="008541FD" w:rsidP="00947D52">
      <w:pPr>
        <w:spacing w:after="0" w:line="360" w:lineRule="auto"/>
        <w:ind w:firstLine="708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</w:pPr>
      <w:bookmarkStart w:id="0" w:name="_GoBack"/>
      <w:r w:rsidRPr="008541FD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Informacja.</w:t>
      </w:r>
    </w:p>
    <w:bookmarkEnd w:id="0"/>
    <w:p w:rsidR="007E0015" w:rsidRDefault="007E0015" w:rsidP="00947D52">
      <w:pPr>
        <w:spacing w:after="0" w:line="360" w:lineRule="auto"/>
        <w:ind w:firstLine="708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7E001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Począwszy od 5 września 2014 roku na mocy przepisów ustawy z dnia 11 lipca 2014 roku o zmianie ustawy o rachunkowości, obowiązują nowe przepisy w zakresie rachunkowości 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m.in. </w:t>
      </w:r>
      <w:r w:rsidRPr="007E001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dla organizacji pozarządowych 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(</w:t>
      </w:r>
      <w:r w:rsidRPr="007E0015">
        <w:rPr>
          <w:rFonts w:asciiTheme="majorHAnsi" w:eastAsia="Times New Roman" w:hAnsiTheme="majorHAnsi" w:cs="Times New Roman"/>
          <w:sz w:val="24"/>
          <w:szCs w:val="24"/>
          <w:lang w:eastAsia="pl-PL"/>
        </w:rPr>
        <w:t>fundacji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, stowarzyszeń) </w:t>
      </w:r>
      <w:r w:rsidRPr="007E0015">
        <w:rPr>
          <w:rFonts w:asciiTheme="majorHAnsi" w:eastAsia="Times New Roman" w:hAnsiTheme="majorHAnsi" w:cs="Times New Roman"/>
          <w:sz w:val="24"/>
          <w:szCs w:val="24"/>
          <w:lang w:eastAsia="pl-PL"/>
        </w:rPr>
        <w:t>nieprowadzących działalności gospodarczej. Z dniem tym przestają obowiązywać przepisy rozporządzenia Ministra Finansów z dnia 15 listopada 2001 roku w sprawie szczególnych zasad rachunkowości dla niektórych jednostek niebędących spółkami handlowymi, nieprowadzących działalności gospodarczej, którego postanowienia zostały przeniesione do ustawy o rachunk</w:t>
      </w:r>
      <w:r w:rsidR="00947D52">
        <w:rPr>
          <w:rFonts w:asciiTheme="majorHAnsi" w:eastAsia="Times New Roman" w:hAnsiTheme="majorHAnsi" w:cs="Times New Roman"/>
          <w:sz w:val="24"/>
          <w:szCs w:val="24"/>
          <w:lang w:eastAsia="pl-PL"/>
        </w:rPr>
        <w:t>owości. Zmiany te związane są z </w:t>
      </w:r>
      <w:r w:rsidRPr="007E0015">
        <w:rPr>
          <w:rFonts w:asciiTheme="majorHAnsi" w:eastAsia="Times New Roman" w:hAnsiTheme="majorHAnsi" w:cs="Times New Roman"/>
          <w:sz w:val="24"/>
          <w:szCs w:val="24"/>
          <w:lang w:eastAsia="pl-PL"/>
        </w:rPr>
        <w:t>implementacją dyrektywy Parlamentu Europejskiego i Rady 2013/34/UE z dnia 26 czerwca 2013 r. w sprawie rocznych sprawozdań finansowych, skonsolidowanych sprawozdań finansowych i powiązanych sprawozdań niektórych rodzajów jednostek, zmieniającej dyrektywę Parlamentu Europejskiego i Rady 2006/43/WE oraz uchylającej dyrektywy Rady 78/660/EWG i 83/349/EWG (Dz. Urz. UE L 182 z 29.06.2013, s. 19). Regulacje zawarte w dyrektywie (art. 3 ust. 1 dyrektywy) umożliwiają państwom członkowskim wprowadzenie uproszczeń w zakresie sprawozdawczości finansowej dla jednostek mikro.</w:t>
      </w:r>
    </w:p>
    <w:p w:rsidR="007E0015" w:rsidRPr="00947D52" w:rsidRDefault="007E0015" w:rsidP="00947D52">
      <w:pPr>
        <w:spacing w:after="0" w:line="360" w:lineRule="auto"/>
        <w:ind w:firstLine="708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7E0015">
        <w:rPr>
          <w:rFonts w:asciiTheme="majorHAnsi" w:eastAsia="Times New Roman" w:hAnsiTheme="majorHAnsi" w:cs="Times New Roman"/>
          <w:sz w:val="24"/>
          <w:szCs w:val="24"/>
          <w:lang w:eastAsia="pl-PL"/>
        </w:rPr>
        <w:t>Ustawa definiuje podmioty zaliczane do jednostek mikro</w:t>
      </w:r>
      <w:r w:rsidRPr="007E001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Pr="007E0015">
        <w:rPr>
          <w:rFonts w:asciiTheme="majorHAnsi" w:eastAsia="Times New Roman" w:hAnsiTheme="majorHAnsi" w:cs="Times New Roman"/>
          <w:sz w:val="24"/>
          <w:szCs w:val="24"/>
          <w:lang w:eastAsia="pl-PL"/>
        </w:rPr>
        <w:t>oraz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Pr="007E0015">
        <w:rPr>
          <w:rFonts w:asciiTheme="majorHAnsi" w:eastAsia="Times New Roman" w:hAnsiTheme="majorHAnsi" w:cs="Times New Roman"/>
          <w:sz w:val="24"/>
          <w:szCs w:val="24"/>
          <w:lang w:eastAsia="pl-PL"/>
        </w:rPr>
        <w:t>wprowadza możliwość sporządz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a</w:t>
      </w:r>
      <w:r w:rsidRPr="007E001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nia uproszczonego sprawozdania finansowego przez 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te jednostki</w:t>
      </w:r>
      <w:r w:rsidRPr="007E001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. Uproszczenia obejmują </w:t>
      </w:r>
      <w:r w:rsidR="00947D5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m.in. </w:t>
      </w:r>
      <w:r w:rsidRPr="007E001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możliwość sporządzania znacznie skróconego sprawozdania finansowego (jedynie podstawowe informacje w bilansie oraz rachunku zysków i strat), zwolnienie ze sporządzania informacji dodatkowej oraz sprawozdania z działalności, pod warunkiem że niektóre informacje, objęte dotychczas zakresem informacyjnym tych elementów sprawozdania finansowego, zostaną przez jednostki mikro ujawnione w informacjach </w:t>
      </w:r>
      <w:r w:rsidRPr="00947D5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uzupełniających do bilansu. </w:t>
      </w:r>
      <w:r w:rsidR="00947D52" w:rsidRPr="00947D52">
        <w:rPr>
          <w:rFonts w:asciiTheme="majorHAnsi" w:eastAsia="Times New Roman" w:hAnsiTheme="majorHAnsi" w:cs="Times New Roman"/>
          <w:sz w:val="24"/>
          <w:szCs w:val="24"/>
          <w:lang w:eastAsia="pl-PL"/>
        </w:rPr>
        <w:t>Ponadto jednostki mikro nie będą</w:t>
      </w:r>
      <w:r w:rsidRPr="00947D5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 stosować wartości godziwej oraz skorygowanej ceny nabycia do wyceny aktywów i pasywów. </w:t>
      </w:r>
    </w:p>
    <w:p w:rsidR="007E0015" w:rsidRPr="00947D52" w:rsidRDefault="007E0015" w:rsidP="00947D52">
      <w:pPr>
        <w:spacing w:after="0" w:line="360" w:lineRule="auto"/>
        <w:ind w:firstLine="708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947D52">
        <w:rPr>
          <w:rFonts w:asciiTheme="majorHAnsi" w:hAnsiTheme="majorHAnsi" w:cs="Tahoma"/>
          <w:sz w:val="24"/>
          <w:szCs w:val="24"/>
        </w:rPr>
        <w:t xml:space="preserve">Stosowanie uproszczeń przewidzianych w ustawie zmieniającej nie jest obowiązkowe. </w:t>
      </w:r>
      <w:r w:rsidR="00947D52">
        <w:rPr>
          <w:rFonts w:asciiTheme="majorHAnsi" w:hAnsiTheme="majorHAnsi" w:cs="Tahoma"/>
          <w:sz w:val="24"/>
          <w:szCs w:val="24"/>
        </w:rPr>
        <w:t>Jednakże aby mogły być stosowane, o</w:t>
      </w:r>
      <w:r w:rsidRPr="00947D52">
        <w:rPr>
          <w:rFonts w:asciiTheme="majorHAnsi" w:hAnsiTheme="majorHAnsi" w:cs="Tahoma"/>
          <w:sz w:val="24"/>
          <w:szCs w:val="24"/>
        </w:rPr>
        <w:t xml:space="preserve">rgan zatwierdzający sprawozdanie finansowe </w:t>
      </w:r>
      <w:r w:rsidR="00947D52">
        <w:rPr>
          <w:rFonts w:asciiTheme="majorHAnsi" w:hAnsiTheme="majorHAnsi" w:cs="Tahoma"/>
          <w:sz w:val="24"/>
          <w:szCs w:val="24"/>
        </w:rPr>
        <w:t>musi</w:t>
      </w:r>
      <w:r w:rsidRPr="00947D52">
        <w:rPr>
          <w:rFonts w:asciiTheme="majorHAnsi" w:hAnsiTheme="majorHAnsi" w:cs="Tahoma"/>
          <w:sz w:val="24"/>
          <w:szCs w:val="24"/>
        </w:rPr>
        <w:t xml:space="preserve"> podjąć decyzję o wdrożeniu tych uproszczeń. W przeciwnym wypadku, tzn. jeśli takiej decyzji nie podejmie, jednostka mikro sporządza sprawozdanie finansowe według zasad ogólnych</w:t>
      </w:r>
      <w:r w:rsidR="00947D52" w:rsidRPr="00947D52">
        <w:rPr>
          <w:rFonts w:asciiTheme="majorHAnsi" w:hAnsiTheme="majorHAnsi" w:cs="Tahoma"/>
          <w:sz w:val="24"/>
          <w:szCs w:val="24"/>
        </w:rPr>
        <w:t>.</w:t>
      </w:r>
    </w:p>
    <w:sectPr w:rsidR="007E0015" w:rsidRPr="00947D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015"/>
    <w:rsid w:val="000E3D6D"/>
    <w:rsid w:val="007E0015"/>
    <w:rsid w:val="008541FD"/>
    <w:rsid w:val="0094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00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00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324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2015-01-26T07:57:00Z</cp:lastPrinted>
  <dcterms:created xsi:type="dcterms:W3CDTF">2015-01-26T07:42:00Z</dcterms:created>
  <dcterms:modified xsi:type="dcterms:W3CDTF">2015-01-26T11:04:00Z</dcterms:modified>
</cp:coreProperties>
</file>